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45C" w:rsidRPr="00077982" w:rsidRDefault="00FB245C" w:rsidP="000049D8">
      <w:pPr>
        <w:pStyle w:val="Header"/>
        <w:tabs>
          <w:tab w:val="clear" w:pos="9639"/>
          <w:tab w:val="right" w:pos="5954"/>
        </w:tabs>
        <w:spacing w:after="240"/>
        <w:jc w:val="right"/>
        <w:rPr>
          <w:rFonts w:ascii="Calibri" w:hAnsi="Calibri" w:cs="Calibri"/>
          <w:lang w:val="en-GB"/>
        </w:rPr>
      </w:pPr>
      <w:r w:rsidRPr="00077982">
        <w:rPr>
          <w:rFonts w:ascii="Calibri" w:hAnsi="Calibri" w:cs="Calibri"/>
          <w:lang w:val="en-GB"/>
        </w:rPr>
        <w:t xml:space="preserve">Input paper: </w:t>
      </w:r>
      <w:r w:rsidRPr="007A395D">
        <w:rPr>
          <w:rStyle w:val="FootnoteReference"/>
          <w:rFonts w:ascii="Calibri" w:hAnsi="Calibri" w:cs="Calibri"/>
          <w:sz w:val="22"/>
          <w:szCs w:val="22"/>
          <w:vertAlign w:val="superscript"/>
        </w:rPr>
        <w:footnoteReference w:id="1"/>
      </w:r>
      <w:r w:rsidR="005F75BC">
        <w:rPr>
          <w:rFonts w:ascii="Calibri" w:hAnsi="Calibri" w:cs="Calibri"/>
          <w:lang w:val="en-GB"/>
        </w:rPr>
        <w:t xml:space="preserve">  ARM6</w:t>
      </w:r>
      <w:r>
        <w:rPr>
          <w:rFonts w:ascii="Calibri" w:hAnsi="Calibri" w:cs="Calibri"/>
          <w:lang w:val="en-GB"/>
        </w:rPr>
        <w:t>-</w:t>
      </w:r>
      <w:r w:rsidR="00391FA1">
        <w:rPr>
          <w:rFonts w:ascii="Calibri" w:hAnsi="Calibri" w:cs="Calibri"/>
          <w:lang w:val="en-GB"/>
        </w:rPr>
        <w:t>8.4.8</w:t>
      </w:r>
      <w:bookmarkStart w:id="0" w:name="_GoBack"/>
      <w:bookmarkEnd w:id="0"/>
    </w:p>
    <w:p w:rsidR="00FB245C" w:rsidRPr="00077982" w:rsidRDefault="00FB245C" w:rsidP="00CA1A52">
      <w:pPr>
        <w:pStyle w:val="BodyText"/>
        <w:rPr>
          <w:lang w:val="en-GB"/>
        </w:rPr>
      </w:pPr>
    </w:p>
    <w:p w:rsidR="00FB245C" w:rsidRPr="00077982" w:rsidRDefault="00FB245C" w:rsidP="00CA1A52">
      <w:pPr>
        <w:pStyle w:val="BodyText"/>
        <w:rPr>
          <w:lang w:val="en-GB"/>
        </w:rPr>
      </w:pPr>
    </w:p>
    <w:p w:rsidR="00FB245C" w:rsidRPr="00265D0A" w:rsidRDefault="00FB245C" w:rsidP="00CA1A52">
      <w:pPr>
        <w:pStyle w:val="BodyText"/>
        <w:rPr>
          <w:lang w:val="en-GB"/>
        </w:rPr>
      </w:pPr>
      <w:r w:rsidRPr="00265D0A">
        <w:rPr>
          <w:lang w:val="en-GB"/>
        </w:rPr>
        <w:t xml:space="preserve">Input paper for the following Committee(s): </w:t>
      </w:r>
      <w:r w:rsidRPr="00265D0A">
        <w:rPr>
          <w:lang w:val="en-GB"/>
        </w:rPr>
        <w:tab/>
      </w:r>
      <w:r w:rsidRPr="00265D0A">
        <w:rPr>
          <w:sz w:val="18"/>
          <w:szCs w:val="18"/>
          <w:lang w:val="en-GB"/>
        </w:rPr>
        <w:t>check as appropriate</w:t>
      </w:r>
      <w:r w:rsidRPr="00265D0A">
        <w:rPr>
          <w:sz w:val="18"/>
          <w:szCs w:val="18"/>
          <w:lang w:val="en-GB"/>
        </w:rPr>
        <w:tab/>
      </w:r>
      <w:r w:rsidRPr="00265D0A">
        <w:rPr>
          <w:lang w:val="en-GB"/>
        </w:rPr>
        <w:tab/>
        <w:t>Purpose of paper:</w:t>
      </w:r>
    </w:p>
    <w:p w:rsidR="00FB245C" w:rsidRPr="00265D0A" w:rsidRDefault="005F75BC" w:rsidP="00CA1A52">
      <w:pPr>
        <w:pStyle w:val="BodyText"/>
        <w:rPr>
          <w:b/>
          <w:bCs/>
          <w:lang w:val="en-GB"/>
        </w:rPr>
      </w:pPr>
      <w:r>
        <w:rPr>
          <w:lang w:val="en-GB"/>
        </w:rPr>
        <w:sym w:font="Wingdings 2" w:char="F052"/>
      </w:r>
      <w:r w:rsidR="00FB245C" w:rsidRPr="00265D0A">
        <w:rPr>
          <w:lang w:val="en-GB"/>
        </w:rPr>
        <w:t xml:space="preserve">  ARM</w:t>
      </w:r>
      <w:r w:rsidR="00FB245C" w:rsidRPr="00265D0A">
        <w:rPr>
          <w:lang w:val="en-GB"/>
        </w:rPr>
        <w:tab/>
      </w:r>
      <w:r w:rsidR="00FB245C" w:rsidRPr="00265D0A">
        <w:rPr>
          <w:b/>
          <w:bCs/>
          <w:lang w:val="en-GB"/>
        </w:rPr>
        <w:t>□</w:t>
      </w:r>
      <w:r w:rsidR="00FB245C" w:rsidRPr="00265D0A">
        <w:rPr>
          <w:lang w:val="en-GB"/>
        </w:rPr>
        <w:t xml:space="preserve">  ENG</w:t>
      </w:r>
      <w:r w:rsidR="00FB245C" w:rsidRPr="00265D0A">
        <w:rPr>
          <w:lang w:val="en-GB"/>
        </w:rPr>
        <w:tab/>
      </w:r>
      <w:r w:rsidR="00FB245C" w:rsidRPr="00265D0A">
        <w:rPr>
          <w:lang w:val="en-GB"/>
        </w:rPr>
        <w:tab/>
      </w:r>
      <w:r w:rsidR="00FB245C" w:rsidRPr="00265D0A">
        <w:rPr>
          <w:b/>
          <w:bCs/>
          <w:lang w:val="en-GB"/>
        </w:rPr>
        <w:t>□</w:t>
      </w:r>
      <w:r w:rsidR="00E140E1">
        <w:rPr>
          <w:lang w:val="en-GB"/>
        </w:rPr>
        <w:t xml:space="preserve">  PAP</w:t>
      </w:r>
      <w:r w:rsidR="00E140E1">
        <w:rPr>
          <w:lang w:val="en-GB"/>
        </w:rPr>
        <w:tab/>
      </w:r>
      <w:r w:rsidR="00E140E1">
        <w:rPr>
          <w:lang w:val="en-GB"/>
        </w:rPr>
        <w:tab/>
      </w:r>
      <w:r w:rsidR="00E140E1">
        <w:rPr>
          <w:lang w:val="en-GB"/>
        </w:rPr>
        <w:tab/>
      </w:r>
      <w:r w:rsidR="00E140E1">
        <w:rPr>
          <w:lang w:val="en-GB"/>
        </w:rPr>
        <w:tab/>
      </w:r>
      <w:r>
        <w:rPr>
          <w:lang w:val="en-GB"/>
        </w:rPr>
        <w:sym w:font="Wingdings 2" w:char="F052"/>
      </w:r>
      <w:r w:rsidR="00FB245C" w:rsidRPr="00265D0A">
        <w:rPr>
          <w:lang w:val="en-GB"/>
        </w:rPr>
        <w:t xml:space="preserve">  Input</w:t>
      </w:r>
    </w:p>
    <w:p w:rsidR="00FB245C" w:rsidRPr="00265D0A" w:rsidRDefault="005F75BC" w:rsidP="00CA1A52">
      <w:pPr>
        <w:pStyle w:val="BodyText"/>
        <w:rPr>
          <w:lang w:val="en-GB"/>
        </w:rPr>
      </w:pPr>
      <w:r w:rsidRPr="00265D0A">
        <w:rPr>
          <w:b/>
          <w:bCs/>
          <w:lang w:val="en-GB"/>
        </w:rPr>
        <w:t>□</w:t>
      </w:r>
      <w:r w:rsidR="00FB245C" w:rsidRPr="00265D0A">
        <w:rPr>
          <w:lang w:val="en-GB"/>
        </w:rPr>
        <w:t xml:space="preserve">  ENAV</w:t>
      </w:r>
      <w:r w:rsidR="00FB245C" w:rsidRPr="00265D0A">
        <w:rPr>
          <w:b/>
          <w:bCs/>
          <w:lang w:val="en-GB"/>
        </w:rPr>
        <w:tab/>
        <w:t>□</w:t>
      </w:r>
      <w:r w:rsidR="00FB245C">
        <w:rPr>
          <w:lang w:val="en-GB"/>
        </w:rPr>
        <w:t xml:space="preserve">  VTS</w:t>
      </w:r>
      <w:r w:rsidR="00FB245C">
        <w:rPr>
          <w:lang w:val="en-GB"/>
        </w:rPr>
        <w:tab/>
      </w:r>
      <w:r w:rsidR="00FB245C">
        <w:rPr>
          <w:lang w:val="en-GB"/>
        </w:rPr>
        <w:tab/>
      </w:r>
      <w:r w:rsidR="00FB245C">
        <w:rPr>
          <w:lang w:val="en-GB"/>
        </w:rPr>
        <w:tab/>
      </w:r>
      <w:r w:rsidR="00FB245C">
        <w:rPr>
          <w:lang w:val="en-GB"/>
        </w:rPr>
        <w:tab/>
      </w:r>
      <w:r w:rsidR="00FB245C">
        <w:rPr>
          <w:lang w:val="en-GB"/>
        </w:rPr>
        <w:tab/>
      </w:r>
      <w:r w:rsidR="00FB245C">
        <w:rPr>
          <w:lang w:val="en-GB"/>
        </w:rPr>
        <w:tab/>
      </w:r>
      <w:r w:rsidRPr="00265D0A">
        <w:rPr>
          <w:b/>
          <w:bCs/>
          <w:lang w:val="en-GB"/>
        </w:rPr>
        <w:t>□</w:t>
      </w:r>
      <w:r w:rsidR="00FB245C" w:rsidRPr="00265D0A">
        <w:rPr>
          <w:lang w:val="en-GB"/>
        </w:rPr>
        <w:t xml:space="preserve">  Information</w:t>
      </w:r>
    </w:p>
    <w:p w:rsidR="00FB245C" w:rsidRPr="00265D0A" w:rsidRDefault="00FB245C" w:rsidP="00CA1A52">
      <w:pPr>
        <w:pStyle w:val="BodyText"/>
        <w:rPr>
          <w:lang w:val="en-GB"/>
        </w:rPr>
      </w:pPr>
    </w:p>
    <w:p w:rsidR="00FB245C" w:rsidRPr="00265D0A" w:rsidRDefault="00FB245C" w:rsidP="00E140E1">
      <w:pPr>
        <w:pStyle w:val="BodyText"/>
        <w:rPr>
          <w:lang w:val="en-GB"/>
        </w:rPr>
      </w:pPr>
      <w:r w:rsidRPr="00265D0A">
        <w:rPr>
          <w:lang w:val="en-GB"/>
        </w:rPr>
        <w:t xml:space="preserve">Agenda item </w:t>
      </w:r>
      <w:r w:rsidRPr="007A395D">
        <w:rPr>
          <w:rStyle w:val="FootnoteReference"/>
          <w:rFonts w:ascii="Calibri" w:hAnsi="Calibri" w:cs="Calibri"/>
          <w:sz w:val="22"/>
          <w:szCs w:val="22"/>
          <w:vertAlign w:val="superscript"/>
        </w:rPr>
        <w:footnoteReference w:id="2"/>
      </w:r>
      <w:r w:rsidR="00870A63">
        <w:rPr>
          <w:lang w:val="en-GB"/>
        </w:rPr>
        <w:tab/>
      </w:r>
      <w:r w:rsidR="00870A63">
        <w:rPr>
          <w:lang w:val="en-GB"/>
        </w:rPr>
        <w:tab/>
      </w:r>
      <w:r w:rsidR="00870A63">
        <w:rPr>
          <w:lang w:val="en-GB"/>
        </w:rPr>
        <w:tab/>
      </w:r>
      <w:r w:rsidR="00E140E1" w:rsidRPr="005F75BC">
        <w:rPr>
          <w:lang w:val="en-GB"/>
        </w:rPr>
        <w:t>Navigational requirements</w:t>
      </w:r>
    </w:p>
    <w:p w:rsidR="00FB245C" w:rsidRPr="005F75BC" w:rsidRDefault="00FB245C" w:rsidP="005F75BC">
      <w:pPr>
        <w:pStyle w:val="BodyText"/>
        <w:rPr>
          <w:lang w:val="en-GB"/>
        </w:rPr>
      </w:pPr>
      <w:r w:rsidRPr="00265D0A">
        <w:rPr>
          <w:lang w:val="en-GB"/>
        </w:rPr>
        <w:t xml:space="preserve">Technical Domain / Task Number </w:t>
      </w:r>
      <w:r w:rsidRPr="00265D0A">
        <w:rPr>
          <w:vertAlign w:val="superscript"/>
          <w:lang w:val="en-GB"/>
        </w:rPr>
        <w:t>2</w:t>
      </w:r>
      <w:r w:rsidR="005F75BC">
        <w:rPr>
          <w:lang w:val="en-GB"/>
        </w:rPr>
        <w:tab/>
      </w:r>
      <w:r w:rsidR="00E140E1" w:rsidRPr="00E140E1">
        <w:rPr>
          <w:lang w:val="en-GB"/>
        </w:rPr>
        <w:t>Develop guidance for AtoN authorities on th</w:t>
      </w:r>
      <w:r w:rsidR="00E140E1">
        <w:rPr>
          <w:lang w:val="en-GB"/>
        </w:rPr>
        <w:t>e use of MSP</w:t>
      </w:r>
      <w:r w:rsidR="00E140E1" w:rsidRPr="00E140E1">
        <w:rPr>
          <w:lang w:val="en-GB"/>
        </w:rPr>
        <w:t xml:space="preserve"> </w:t>
      </w:r>
      <w:r w:rsidR="005F75BC">
        <w:rPr>
          <w:lang w:val="en-GB"/>
        </w:rPr>
        <w:t xml:space="preserve">/ </w:t>
      </w:r>
      <w:r w:rsidR="005F75BC" w:rsidRPr="005F75BC">
        <w:rPr>
          <w:lang w:val="en-GB"/>
        </w:rPr>
        <w:t>3.1.1</w:t>
      </w:r>
    </w:p>
    <w:p w:rsidR="00FB245C" w:rsidRPr="00265D0A" w:rsidRDefault="00FB245C" w:rsidP="00CA1A52">
      <w:pPr>
        <w:pStyle w:val="BodyText"/>
        <w:rPr>
          <w:color w:val="FF0000"/>
          <w:lang w:val="en-GB"/>
        </w:rPr>
      </w:pPr>
      <w:r w:rsidRPr="00265D0A">
        <w:rPr>
          <w:lang w:val="en-GB"/>
        </w:rPr>
        <w:t>Author(s</w:t>
      </w:r>
      <w:r>
        <w:rPr>
          <w:lang w:val="en-GB"/>
        </w:rPr>
        <w:t>) / Submitter(s)</w:t>
      </w:r>
      <w:r>
        <w:rPr>
          <w:lang w:val="en-GB"/>
        </w:rPr>
        <w:tab/>
      </w:r>
      <w:r>
        <w:rPr>
          <w:lang w:val="en-GB"/>
        </w:rPr>
        <w:tab/>
      </w:r>
      <w:r>
        <w:rPr>
          <w:lang w:val="en-GB"/>
        </w:rPr>
        <w:tab/>
        <w:t>Capt. Jean-Charles CORNILLOU</w:t>
      </w:r>
      <w:r w:rsidR="00E140E1">
        <w:rPr>
          <w:lang w:val="en-GB"/>
        </w:rPr>
        <w:t xml:space="preserve"> (France)</w:t>
      </w:r>
    </w:p>
    <w:p w:rsidR="00FB245C" w:rsidRPr="00265D0A" w:rsidRDefault="00FB245C" w:rsidP="00CA1A52">
      <w:pPr>
        <w:pStyle w:val="BodyText"/>
        <w:rPr>
          <w:lang w:val="en-GB"/>
        </w:rPr>
      </w:pPr>
    </w:p>
    <w:p w:rsidR="00FB245C" w:rsidRDefault="005F75BC" w:rsidP="00265D0A">
      <w:pPr>
        <w:pStyle w:val="Title"/>
        <w:rPr>
          <w:rFonts w:ascii="Calibri" w:hAnsi="Calibri" w:cs="Calibri"/>
          <w:color w:val="0070C0"/>
          <w:lang w:val="en-GB"/>
        </w:rPr>
      </w:pPr>
      <w:r>
        <w:rPr>
          <w:rFonts w:ascii="Calibri" w:hAnsi="Calibri" w:cs="Calibri"/>
          <w:color w:val="0070C0"/>
          <w:lang w:val="en-GB"/>
        </w:rPr>
        <w:t>Report from PIANC WG161</w:t>
      </w:r>
    </w:p>
    <w:p w:rsidR="005F75BC" w:rsidRPr="00265D0A" w:rsidRDefault="005F75BC" w:rsidP="005F75BC">
      <w:pPr>
        <w:pStyle w:val="Title"/>
        <w:rPr>
          <w:rFonts w:ascii="Calibri" w:hAnsi="Calibri" w:cs="Calibri"/>
          <w:color w:val="0070C0"/>
          <w:lang w:val="en-GB"/>
        </w:rPr>
      </w:pPr>
      <w:r>
        <w:rPr>
          <w:rFonts w:ascii="Calibri" w:hAnsi="Calibri" w:cs="Calibri"/>
          <w:color w:val="0070C0"/>
          <w:lang w:val="en-GB"/>
        </w:rPr>
        <w:t>Interaction between offshore wind farms and maritime navigation</w:t>
      </w:r>
    </w:p>
    <w:p w:rsidR="00FB245C" w:rsidRPr="00605E43" w:rsidRDefault="00FB245C" w:rsidP="00605E43">
      <w:pPr>
        <w:pStyle w:val="Heading1"/>
      </w:pPr>
      <w:r w:rsidRPr="00605E43">
        <w:t>Summary</w:t>
      </w:r>
    </w:p>
    <w:p w:rsidR="00FB245C" w:rsidRDefault="00E140E1" w:rsidP="00CA1A52">
      <w:pPr>
        <w:pStyle w:val="BodyText"/>
        <w:rPr>
          <w:lang w:val="en-GB"/>
        </w:rPr>
      </w:pPr>
      <w:r>
        <w:rPr>
          <w:lang w:val="en-GB"/>
        </w:rPr>
        <w:t xml:space="preserve">This </w:t>
      </w:r>
      <w:r w:rsidR="005F75BC">
        <w:rPr>
          <w:lang w:val="en-GB"/>
        </w:rPr>
        <w:t>document presents the draft report of PIANC WG 161 on the interaction between offshore win</w:t>
      </w:r>
      <w:r w:rsidR="009D2896">
        <w:rPr>
          <w:lang w:val="en-GB"/>
        </w:rPr>
        <w:t>d farms (OWF) and maritime navigation which provides specific guidance for AtoN authorities in the special case of OWF. In that respect this report is completing ARM task 3.1.1. to develop guidance for AtoN authorities on the use of MSP.</w:t>
      </w:r>
      <w:r w:rsidR="00E40B41">
        <w:rPr>
          <w:lang w:val="en-GB"/>
        </w:rPr>
        <w:t xml:space="preserve"> It is hen</w:t>
      </w:r>
      <w:r w:rsidR="000E21C9">
        <w:rPr>
          <w:lang w:val="en-GB"/>
        </w:rPr>
        <w:t>ce</w:t>
      </w:r>
      <w:r w:rsidR="00E40B41">
        <w:rPr>
          <w:lang w:val="en-GB"/>
        </w:rPr>
        <w:t xml:space="preserve"> proposed to IALA to co-sign this document. </w:t>
      </w:r>
    </w:p>
    <w:p w:rsidR="00FB245C" w:rsidRDefault="00FB245C" w:rsidP="00CA1A52">
      <w:pPr>
        <w:pStyle w:val="BodyText"/>
        <w:rPr>
          <w:lang w:val="en-GB"/>
        </w:rPr>
      </w:pPr>
    </w:p>
    <w:p w:rsidR="00FB245C" w:rsidRPr="009D2896" w:rsidRDefault="00FB245C" w:rsidP="00605E43">
      <w:pPr>
        <w:pStyle w:val="Heading2"/>
        <w:rPr>
          <w:lang w:val="en-GB"/>
        </w:rPr>
      </w:pPr>
      <w:r w:rsidRPr="009D2896">
        <w:rPr>
          <w:lang w:val="en-GB"/>
        </w:rPr>
        <w:t>Purpose of the document</w:t>
      </w:r>
    </w:p>
    <w:p w:rsidR="005F75BC" w:rsidRPr="009D2896" w:rsidRDefault="005F75BC" w:rsidP="005F75BC">
      <w:pPr>
        <w:jc w:val="both"/>
        <w:rPr>
          <w:rFonts w:ascii="Calibri" w:eastAsia="Times New Roman" w:hAnsi="Calibri"/>
          <w:color w:val="00000A"/>
          <w:lang w:val="en-AU" w:eastAsia="en-US"/>
        </w:rPr>
      </w:pPr>
      <w:r w:rsidRPr="00E75533">
        <w:rPr>
          <w:rFonts w:ascii="Calibri" w:eastAsia="Times New Roman" w:hAnsi="Calibri"/>
          <w:color w:val="00000A"/>
          <w:lang w:eastAsia="en-US"/>
        </w:rPr>
        <w:t xml:space="preserve">The PIANC WG161 report provides an approach, guidelines and recommendations to assess the required </w:t>
      </w:r>
      <w:r w:rsidRPr="00E75533">
        <w:rPr>
          <w:rFonts w:ascii="Calibri" w:eastAsia="Times New Roman" w:hAnsi="Calibri"/>
          <w:i/>
          <w:color w:val="00000A"/>
          <w:lang w:eastAsia="en-US"/>
        </w:rPr>
        <w:t>manoeuvring space for ships in the vicinity of offshore wind farms (OWF) and the minimum</w:t>
      </w:r>
      <w:r w:rsidRPr="00E75533">
        <w:rPr>
          <w:rFonts w:ascii="Calibri" w:eastAsia="Times New Roman" w:hAnsi="Calibri"/>
          <w:color w:val="00000A"/>
          <w:lang w:eastAsia="en-US"/>
        </w:rPr>
        <w:t xml:space="preserve"> recommended distance between shipping lanes and sea areas for OWF in order to ensure a minimal risk level for navigation. This report includes,</w:t>
      </w:r>
    </w:p>
    <w:p w:rsidR="005F75BC" w:rsidRPr="00E75533" w:rsidRDefault="005F75BC" w:rsidP="005F75BC">
      <w:pPr>
        <w:numPr>
          <w:ilvl w:val="0"/>
          <w:numId w:val="27"/>
        </w:numPr>
        <w:jc w:val="both"/>
        <w:rPr>
          <w:rFonts w:ascii="Calibri" w:eastAsia="Times New Roman" w:hAnsi="Calibri"/>
          <w:color w:val="00000A"/>
          <w:lang w:eastAsia="en-US"/>
        </w:rPr>
      </w:pPr>
      <w:r w:rsidRPr="00E75533">
        <w:rPr>
          <w:rFonts w:ascii="Calibri" w:eastAsia="Times New Roman" w:hAnsi="Calibri"/>
          <w:color w:val="00000A"/>
          <w:lang w:eastAsia="en-US"/>
        </w:rPr>
        <w:t xml:space="preserve">references to international conventions and regulations, </w:t>
      </w:r>
    </w:p>
    <w:p w:rsidR="005F75BC" w:rsidRPr="00E75533" w:rsidRDefault="005F75BC" w:rsidP="005F75BC">
      <w:pPr>
        <w:numPr>
          <w:ilvl w:val="0"/>
          <w:numId w:val="27"/>
        </w:numPr>
        <w:jc w:val="both"/>
        <w:rPr>
          <w:rFonts w:ascii="Calibri" w:eastAsia="Times New Roman" w:hAnsi="Calibri"/>
          <w:color w:val="00000A"/>
          <w:lang w:val="en-AU" w:eastAsia="en-US"/>
        </w:rPr>
      </w:pPr>
      <w:r w:rsidRPr="00E75533">
        <w:rPr>
          <w:rFonts w:ascii="Calibri" w:eastAsia="Times New Roman" w:hAnsi="Calibri"/>
          <w:color w:val="00000A"/>
          <w:lang w:eastAsia="en-US"/>
        </w:rPr>
        <w:t xml:space="preserve">provides guidelines to define an appropriate safe distance to navigation for different situations, </w:t>
      </w:r>
    </w:p>
    <w:p w:rsidR="005F75BC" w:rsidRPr="00E75533" w:rsidRDefault="005F75BC" w:rsidP="005F75BC">
      <w:pPr>
        <w:numPr>
          <w:ilvl w:val="0"/>
          <w:numId w:val="27"/>
        </w:numPr>
        <w:jc w:val="both"/>
        <w:rPr>
          <w:rFonts w:ascii="Calibri" w:eastAsia="Times New Roman" w:hAnsi="Calibri"/>
          <w:color w:val="00000A"/>
          <w:lang w:eastAsia="en-US"/>
        </w:rPr>
      </w:pPr>
      <w:r w:rsidRPr="00E75533">
        <w:rPr>
          <w:rFonts w:ascii="Calibri" w:eastAsia="Times New Roman" w:hAnsi="Calibri"/>
          <w:color w:val="00000A"/>
          <w:lang w:eastAsia="en-US"/>
        </w:rPr>
        <w:t>describes the electromagnetic radiation effect on radio navigation and radio communication systems,</w:t>
      </w:r>
    </w:p>
    <w:p w:rsidR="005F75BC" w:rsidRPr="00E75533" w:rsidRDefault="005F75BC" w:rsidP="005F75BC">
      <w:pPr>
        <w:numPr>
          <w:ilvl w:val="0"/>
          <w:numId w:val="27"/>
        </w:numPr>
        <w:jc w:val="both"/>
        <w:rPr>
          <w:rFonts w:ascii="Calibri" w:eastAsia="Times New Roman" w:hAnsi="Calibri"/>
          <w:color w:val="00000A"/>
          <w:lang w:eastAsia="en-US"/>
        </w:rPr>
      </w:pPr>
      <w:r w:rsidRPr="00E75533">
        <w:rPr>
          <w:rFonts w:ascii="Calibri" w:eastAsia="Times New Roman" w:hAnsi="Calibri"/>
          <w:color w:val="00000A"/>
          <w:lang w:eastAsia="en-US"/>
        </w:rPr>
        <w:t>indicates mitigating measures to be taken into account for the safe navigation of shipping and</w:t>
      </w:r>
    </w:p>
    <w:p w:rsidR="005F75BC" w:rsidRPr="00E75533" w:rsidRDefault="005F75BC" w:rsidP="005F75BC">
      <w:pPr>
        <w:numPr>
          <w:ilvl w:val="0"/>
          <w:numId w:val="27"/>
        </w:numPr>
        <w:jc w:val="both"/>
        <w:rPr>
          <w:rFonts w:ascii="Calibri" w:eastAsia="Times New Roman" w:hAnsi="Calibri"/>
          <w:color w:val="00000A"/>
          <w:lang w:val="en-AU" w:eastAsia="en-US"/>
        </w:rPr>
      </w:pPr>
      <w:r w:rsidRPr="00E75533">
        <w:rPr>
          <w:rFonts w:ascii="Calibri" w:eastAsia="Times New Roman" w:hAnsi="Calibri"/>
          <w:color w:val="00000A"/>
          <w:lang w:eastAsia="en-US"/>
        </w:rPr>
        <w:t xml:space="preserve">covers emergency situations that may occurred within or close to an OWF. </w:t>
      </w:r>
    </w:p>
    <w:p w:rsidR="005F75BC" w:rsidRPr="00E75533" w:rsidRDefault="005F75BC" w:rsidP="005F75BC">
      <w:pPr>
        <w:rPr>
          <w:rFonts w:ascii="Calibri" w:eastAsia="Times New Roman" w:hAnsi="Calibri"/>
          <w:color w:val="00000A"/>
          <w:lang w:eastAsia="en-US"/>
        </w:rPr>
      </w:pPr>
    </w:p>
    <w:p w:rsidR="005F75BC" w:rsidRPr="00E75533" w:rsidRDefault="005F75BC" w:rsidP="005F75BC">
      <w:pPr>
        <w:jc w:val="both"/>
        <w:rPr>
          <w:rFonts w:ascii="Calibri" w:eastAsia="Times New Roman" w:hAnsi="Calibri"/>
          <w:color w:val="00000A"/>
          <w:lang w:eastAsia="en-US"/>
        </w:rPr>
      </w:pPr>
      <w:r w:rsidRPr="00E75533">
        <w:rPr>
          <w:rFonts w:ascii="Calibri" w:eastAsia="Times New Roman" w:hAnsi="Calibri"/>
          <w:color w:val="00000A"/>
          <w:lang w:eastAsia="en-US"/>
        </w:rPr>
        <w:t>This report is intended as a guide for the Marine Spatial Planning (MSP) of any Coastal State covering the identification of wind farm areas and the design, planning, construction, operation and dismantling of a wind farm.</w:t>
      </w:r>
    </w:p>
    <w:p w:rsidR="005F75BC" w:rsidRDefault="005F75BC" w:rsidP="000309EC">
      <w:pPr>
        <w:pStyle w:val="BodyText"/>
        <w:rPr>
          <w:lang w:val="en-GB"/>
        </w:rPr>
      </w:pPr>
    </w:p>
    <w:p w:rsidR="00FB245C" w:rsidRPr="007A395D" w:rsidRDefault="00E140E1" w:rsidP="00605E43">
      <w:pPr>
        <w:pStyle w:val="Heading2"/>
      </w:pPr>
      <w:r>
        <w:t>Related document</w:t>
      </w:r>
    </w:p>
    <w:p w:rsidR="00813EFB" w:rsidRPr="00265D0A" w:rsidRDefault="005F75BC" w:rsidP="00CA1A52">
      <w:pPr>
        <w:pStyle w:val="BodyText"/>
        <w:rPr>
          <w:lang w:val="en-GB"/>
        </w:rPr>
      </w:pPr>
      <w:r>
        <w:rPr>
          <w:lang w:val="en-GB"/>
        </w:rPr>
        <w:t>draft report of PIANC WG 161 on the interaction between offshore wind farms and maritime navigation – Revision 11</w:t>
      </w:r>
      <w:r w:rsidR="005C5FD7">
        <w:rPr>
          <w:lang w:val="en-GB"/>
        </w:rPr>
        <w:t>, of 3</w:t>
      </w:r>
      <w:r w:rsidR="005C5FD7" w:rsidRPr="005C5FD7">
        <w:rPr>
          <w:vertAlign w:val="superscript"/>
          <w:lang w:val="en-GB"/>
        </w:rPr>
        <w:t>rd</w:t>
      </w:r>
      <w:r w:rsidR="005C5FD7">
        <w:rPr>
          <w:lang w:val="en-GB"/>
        </w:rPr>
        <w:t xml:space="preserve"> April 2017</w:t>
      </w:r>
    </w:p>
    <w:p w:rsidR="00FB245C" w:rsidRDefault="00FB245C" w:rsidP="00077982">
      <w:pPr>
        <w:pStyle w:val="Heading1"/>
      </w:pPr>
      <w:r w:rsidRPr="007A395D">
        <w:lastRenderedPageBreak/>
        <w:t>Background</w:t>
      </w:r>
    </w:p>
    <w:p w:rsidR="00FB245C" w:rsidRDefault="005C5FD7" w:rsidP="00DB53DF">
      <w:pPr>
        <w:pStyle w:val="Heading1"/>
        <w:numPr>
          <w:ilvl w:val="0"/>
          <w:numId w:val="0"/>
        </w:numPr>
        <w:rPr>
          <w:lang w:val="en-GB"/>
        </w:rPr>
      </w:pPr>
      <w:r>
        <w:rPr>
          <w:lang w:val="en-GB"/>
        </w:rPr>
        <w:t xml:space="preserve">2.1 </w:t>
      </w:r>
      <w:r>
        <w:rPr>
          <w:lang w:val="en-GB"/>
        </w:rPr>
        <w:tab/>
        <w:t>interaction between OWF AND MARITIME NAVIGATION</w:t>
      </w:r>
    </w:p>
    <w:p w:rsidR="00E140E1" w:rsidRDefault="005C5FD7" w:rsidP="005C5FD7">
      <w:pPr>
        <w:pStyle w:val="Agenda2"/>
        <w:tabs>
          <w:tab w:val="clear" w:pos="1418"/>
        </w:tabs>
        <w:ind w:left="0" w:firstLine="0"/>
        <w:rPr>
          <w:rFonts w:ascii="Calibri" w:hAnsi="Calibri"/>
          <w:szCs w:val="22"/>
        </w:rPr>
      </w:pPr>
      <w:r>
        <w:rPr>
          <w:rFonts w:ascii="Calibri" w:hAnsi="Calibri"/>
          <w:szCs w:val="22"/>
        </w:rPr>
        <w:t xml:space="preserve">PIANC WG161 members identified common points of interest with IALA ARM committee for safety navigation requirements close to an OWF. PIANC WG 161 report is only dedicated to the particular </w:t>
      </w:r>
      <w:r w:rsidR="00E140E1">
        <w:rPr>
          <w:rFonts w:ascii="Calibri" w:hAnsi="Calibri"/>
          <w:szCs w:val="22"/>
        </w:rPr>
        <w:t xml:space="preserve">question of </w:t>
      </w:r>
      <w:r>
        <w:rPr>
          <w:rFonts w:ascii="Calibri" w:hAnsi="Calibri"/>
          <w:szCs w:val="22"/>
        </w:rPr>
        <w:t xml:space="preserve">safety distance between an </w:t>
      </w:r>
      <w:r w:rsidR="00AE7E17">
        <w:rPr>
          <w:rFonts w:ascii="Calibri" w:hAnsi="Calibri"/>
          <w:szCs w:val="22"/>
        </w:rPr>
        <w:t xml:space="preserve">OWF and maritime traffic. Meanwhile there are many cross references to recommendations already developed or under consideration by IALA. </w:t>
      </w:r>
    </w:p>
    <w:p w:rsidR="00AE7E17" w:rsidRDefault="00AE7E17" w:rsidP="005C5FD7">
      <w:pPr>
        <w:pStyle w:val="Agenda2"/>
        <w:tabs>
          <w:tab w:val="clear" w:pos="1418"/>
        </w:tabs>
        <w:ind w:left="0" w:firstLine="0"/>
        <w:rPr>
          <w:rFonts w:ascii="Calibri" w:hAnsi="Calibri"/>
          <w:szCs w:val="22"/>
        </w:rPr>
      </w:pPr>
      <w:r>
        <w:rPr>
          <w:rFonts w:ascii="Calibri" w:hAnsi="Calibri"/>
          <w:szCs w:val="22"/>
        </w:rPr>
        <w:t>Two members of PIANC WG 161 are also members of IALA and they are both national representative</w:t>
      </w:r>
      <w:r w:rsidR="00E140E1">
        <w:rPr>
          <w:rFonts w:ascii="Calibri" w:hAnsi="Calibri"/>
          <w:szCs w:val="22"/>
        </w:rPr>
        <w:t>s</w:t>
      </w:r>
      <w:r>
        <w:rPr>
          <w:rFonts w:ascii="Calibri" w:hAnsi="Calibri"/>
          <w:szCs w:val="22"/>
        </w:rPr>
        <w:t xml:space="preserve"> at IMO as well. </w:t>
      </w:r>
      <w:r w:rsidR="000E21C9">
        <w:rPr>
          <w:rFonts w:ascii="Calibri" w:hAnsi="Calibri"/>
          <w:szCs w:val="22"/>
        </w:rPr>
        <w:t>It rised up to a common sense to collect</w:t>
      </w:r>
      <w:r w:rsidR="00E140E1">
        <w:rPr>
          <w:rFonts w:ascii="Calibri" w:hAnsi="Calibri"/>
          <w:szCs w:val="22"/>
        </w:rPr>
        <w:t xml:space="preserve"> all the good practices that has been already developed</w:t>
      </w:r>
      <w:r>
        <w:rPr>
          <w:rFonts w:ascii="Calibri" w:hAnsi="Calibri"/>
          <w:szCs w:val="22"/>
        </w:rPr>
        <w:t xml:space="preserve"> by different organization</w:t>
      </w:r>
      <w:r w:rsidR="00E140E1">
        <w:rPr>
          <w:rFonts w:ascii="Calibri" w:hAnsi="Calibri"/>
          <w:szCs w:val="22"/>
        </w:rPr>
        <w:t>s and associations</w:t>
      </w:r>
      <w:r w:rsidR="00623DCA">
        <w:rPr>
          <w:rFonts w:ascii="Calibri" w:hAnsi="Calibri"/>
          <w:szCs w:val="22"/>
        </w:rPr>
        <w:t>.</w:t>
      </w:r>
      <w:r w:rsidR="00E140E1">
        <w:rPr>
          <w:rFonts w:ascii="Calibri" w:hAnsi="Calibri"/>
          <w:szCs w:val="22"/>
        </w:rPr>
        <w:t xml:space="preserve"> These two members noted also that it would be valuable t</w:t>
      </w:r>
      <w:r w:rsidR="009D2896">
        <w:rPr>
          <w:rFonts w:ascii="Calibri" w:hAnsi="Calibri"/>
          <w:szCs w:val="22"/>
        </w:rPr>
        <w:t>hat this report</w:t>
      </w:r>
      <w:r w:rsidR="00E40B41">
        <w:rPr>
          <w:rFonts w:ascii="Calibri" w:hAnsi="Calibri"/>
          <w:szCs w:val="22"/>
        </w:rPr>
        <w:t>, when completed,</w:t>
      </w:r>
      <w:r w:rsidR="009D2896">
        <w:rPr>
          <w:rFonts w:ascii="Calibri" w:hAnsi="Calibri"/>
          <w:szCs w:val="22"/>
        </w:rPr>
        <w:t xml:space="preserve"> sh</w:t>
      </w:r>
      <w:r w:rsidR="00E140E1">
        <w:rPr>
          <w:rFonts w:ascii="Calibri" w:hAnsi="Calibri"/>
          <w:szCs w:val="22"/>
        </w:rPr>
        <w:t>ould be brought to the attention of IMO member States as an information paper to the sub-committee navigation, communication, search and rescue (NCSR).</w:t>
      </w:r>
    </w:p>
    <w:p w:rsidR="00FB245C" w:rsidRPr="00A37A40" w:rsidRDefault="00FB245C" w:rsidP="00A37A40">
      <w:pPr>
        <w:pStyle w:val="Default"/>
        <w:jc w:val="both"/>
        <w:rPr>
          <w:rFonts w:ascii="Calibri" w:hAnsi="Calibri" w:cs="Calibri"/>
          <w:sz w:val="22"/>
          <w:szCs w:val="22"/>
          <w:lang w:val="en-GB"/>
        </w:rPr>
      </w:pPr>
    </w:p>
    <w:p w:rsidR="00FB245C" w:rsidRPr="0072261B" w:rsidRDefault="00FB245C" w:rsidP="00A37A40">
      <w:pPr>
        <w:pStyle w:val="Default"/>
        <w:rPr>
          <w:rFonts w:ascii="Calibri" w:hAnsi="Calibri" w:cs="Calibri"/>
          <w:b/>
          <w:bCs/>
          <w:i/>
          <w:iCs/>
          <w:sz w:val="22"/>
          <w:szCs w:val="22"/>
          <w:lang w:val="en-GB"/>
        </w:rPr>
      </w:pPr>
      <w:r>
        <w:rPr>
          <w:rFonts w:ascii="Calibri" w:hAnsi="Calibri" w:cs="Calibri"/>
          <w:b/>
          <w:bCs/>
          <w:i/>
          <w:iCs/>
          <w:sz w:val="22"/>
          <w:szCs w:val="22"/>
          <w:lang w:val="en-GB"/>
        </w:rPr>
        <w:t>2.1.1</w:t>
      </w:r>
      <w:r>
        <w:rPr>
          <w:rFonts w:ascii="Calibri" w:hAnsi="Calibri" w:cs="Calibri"/>
          <w:b/>
          <w:bCs/>
          <w:i/>
          <w:iCs/>
          <w:sz w:val="22"/>
          <w:szCs w:val="22"/>
          <w:lang w:val="en-GB"/>
        </w:rPr>
        <w:tab/>
      </w:r>
      <w:r w:rsidR="005C5FD7">
        <w:rPr>
          <w:rFonts w:ascii="Calibri" w:hAnsi="Calibri" w:cs="Calibri"/>
          <w:b/>
          <w:bCs/>
          <w:i/>
          <w:iCs/>
          <w:sz w:val="22"/>
          <w:szCs w:val="22"/>
          <w:lang w:val="en-GB"/>
        </w:rPr>
        <w:t xml:space="preserve"> Marine Spatial Planning</w:t>
      </w:r>
      <w:r w:rsidR="00623DCA">
        <w:rPr>
          <w:rFonts w:ascii="Calibri" w:hAnsi="Calibri" w:cs="Calibri"/>
          <w:b/>
          <w:bCs/>
          <w:i/>
          <w:iCs/>
          <w:sz w:val="22"/>
          <w:szCs w:val="22"/>
          <w:lang w:val="en-GB"/>
        </w:rPr>
        <w:t xml:space="preserve"> (MSP)</w:t>
      </w:r>
    </w:p>
    <w:p w:rsidR="00FB245C" w:rsidRDefault="00FB245C" w:rsidP="00A37A40">
      <w:pPr>
        <w:pStyle w:val="Default"/>
        <w:jc w:val="both"/>
        <w:rPr>
          <w:rFonts w:ascii="Calibri" w:hAnsi="Calibri" w:cs="Calibri"/>
          <w:sz w:val="22"/>
          <w:szCs w:val="22"/>
          <w:lang w:val="en-GB"/>
        </w:rPr>
      </w:pPr>
    </w:p>
    <w:p w:rsidR="00623DCA" w:rsidRPr="00623DCA" w:rsidRDefault="00AE7E17" w:rsidP="00623DCA">
      <w:pPr>
        <w:pStyle w:val="Agenda2"/>
        <w:tabs>
          <w:tab w:val="clear" w:pos="1418"/>
        </w:tabs>
        <w:ind w:left="0" w:firstLine="0"/>
        <w:rPr>
          <w:rFonts w:ascii="Calibri" w:hAnsi="Calibri"/>
        </w:rPr>
      </w:pPr>
      <w:r>
        <w:rPr>
          <w:rFonts w:ascii="Calibri" w:hAnsi="Calibri" w:cs="Calibri"/>
          <w:szCs w:val="22"/>
        </w:rPr>
        <w:t>In o</w:t>
      </w:r>
      <w:r w:rsidR="00E40B41">
        <w:rPr>
          <w:rFonts w:ascii="Calibri" w:hAnsi="Calibri" w:cs="Calibri"/>
          <w:szCs w:val="22"/>
        </w:rPr>
        <w:t>rder to understand the question</w:t>
      </w:r>
      <w:r>
        <w:rPr>
          <w:rFonts w:ascii="Calibri" w:hAnsi="Calibri" w:cs="Calibri"/>
          <w:szCs w:val="22"/>
        </w:rPr>
        <w:t xml:space="preserve"> of interaction between OWF and maritime navigation, PIANC WG161 refers to Marine Spatial Planning (MSP). It has been considered to refer to ARM </w:t>
      </w:r>
      <w:r>
        <w:rPr>
          <w:rFonts w:ascii="Calibri" w:hAnsi="Calibri"/>
          <w:szCs w:val="22"/>
        </w:rPr>
        <w:t xml:space="preserve">task 3.1.1 to </w:t>
      </w:r>
      <w:r>
        <w:rPr>
          <w:rFonts w:ascii="Calibri" w:hAnsi="Calibri"/>
        </w:rPr>
        <w:t>d</w:t>
      </w:r>
      <w:r w:rsidRPr="005C5FD7">
        <w:rPr>
          <w:rFonts w:ascii="Calibri" w:hAnsi="Calibri"/>
        </w:rPr>
        <w:t>evelop guidance for AtoN authorities on the use of Mari</w:t>
      </w:r>
      <w:r w:rsidR="00623DCA">
        <w:rPr>
          <w:rFonts w:ascii="Calibri" w:hAnsi="Calibri"/>
        </w:rPr>
        <w:t xml:space="preserve">ne Spatial Planning in chapter 2.1 of the report. </w:t>
      </w:r>
      <w:r w:rsidR="00E40B41">
        <w:rPr>
          <w:rFonts w:ascii="Calibri" w:hAnsi="Calibri"/>
        </w:rPr>
        <w:t>Paragraph</w:t>
      </w:r>
      <w:r w:rsidR="00623DCA">
        <w:rPr>
          <w:rFonts w:ascii="Calibri" w:hAnsi="Calibri"/>
        </w:rPr>
        <w:t xml:space="preserve"> 2.1.2 should be completed </w:t>
      </w:r>
      <w:r w:rsidR="00E40B41">
        <w:rPr>
          <w:rFonts w:ascii="Calibri" w:hAnsi="Calibri"/>
        </w:rPr>
        <w:t xml:space="preserve">accordingly </w:t>
      </w:r>
      <w:r w:rsidR="00623DCA">
        <w:rPr>
          <w:rFonts w:ascii="Calibri" w:hAnsi="Calibri"/>
        </w:rPr>
        <w:t>with the appropriate IALA document reference.</w:t>
      </w:r>
    </w:p>
    <w:p w:rsidR="00BB76FD" w:rsidRDefault="00BB76FD" w:rsidP="00A37A40">
      <w:pPr>
        <w:pStyle w:val="Default"/>
        <w:rPr>
          <w:rFonts w:ascii="Calibri" w:hAnsi="Calibri" w:cs="Calibri"/>
          <w:b/>
          <w:bCs/>
          <w:i/>
          <w:iCs/>
          <w:sz w:val="22"/>
          <w:szCs w:val="22"/>
          <w:lang w:val="en-GB"/>
        </w:rPr>
      </w:pPr>
    </w:p>
    <w:p w:rsidR="00FB245C" w:rsidRPr="0072261B" w:rsidRDefault="00FB245C" w:rsidP="00A37A40">
      <w:pPr>
        <w:pStyle w:val="Default"/>
        <w:rPr>
          <w:rFonts w:ascii="Calibri" w:hAnsi="Calibri" w:cs="Calibri"/>
          <w:b/>
          <w:bCs/>
          <w:i/>
          <w:iCs/>
          <w:sz w:val="22"/>
          <w:szCs w:val="22"/>
          <w:lang w:val="en-GB"/>
        </w:rPr>
      </w:pPr>
      <w:r w:rsidRPr="0072261B">
        <w:rPr>
          <w:rFonts w:ascii="Calibri" w:hAnsi="Calibri" w:cs="Calibri"/>
          <w:b/>
          <w:bCs/>
          <w:i/>
          <w:iCs/>
          <w:sz w:val="22"/>
          <w:szCs w:val="22"/>
          <w:lang w:val="en-GB"/>
        </w:rPr>
        <w:t>2.1.2</w:t>
      </w:r>
      <w:r w:rsidRPr="0072261B">
        <w:rPr>
          <w:rFonts w:ascii="Calibri" w:hAnsi="Calibri" w:cs="Calibri"/>
          <w:b/>
          <w:bCs/>
          <w:i/>
          <w:iCs/>
          <w:sz w:val="22"/>
          <w:szCs w:val="22"/>
          <w:lang w:val="en-GB"/>
        </w:rPr>
        <w:tab/>
      </w:r>
      <w:r w:rsidR="005C5FD7">
        <w:rPr>
          <w:rFonts w:ascii="Calibri" w:hAnsi="Calibri" w:cs="Calibri"/>
          <w:b/>
          <w:bCs/>
          <w:i/>
          <w:iCs/>
          <w:sz w:val="22"/>
          <w:szCs w:val="22"/>
          <w:lang w:val="en-GB"/>
        </w:rPr>
        <w:t>Aids to Navigation</w:t>
      </w:r>
      <w:r w:rsidRPr="0072261B">
        <w:rPr>
          <w:rFonts w:ascii="Calibri" w:hAnsi="Calibri" w:cs="Calibri"/>
          <w:b/>
          <w:bCs/>
          <w:i/>
          <w:iCs/>
          <w:sz w:val="22"/>
          <w:szCs w:val="22"/>
          <w:lang w:val="en-GB"/>
        </w:rPr>
        <w:t xml:space="preserve"> </w:t>
      </w:r>
    </w:p>
    <w:p w:rsidR="00FB245C" w:rsidRDefault="00FB245C" w:rsidP="00BA0B03">
      <w:pPr>
        <w:pStyle w:val="Default"/>
        <w:jc w:val="both"/>
        <w:rPr>
          <w:rFonts w:ascii="Calibri" w:hAnsi="Calibri" w:cs="Calibri"/>
          <w:sz w:val="22"/>
          <w:szCs w:val="22"/>
          <w:lang w:val="en-GB"/>
        </w:rPr>
      </w:pPr>
    </w:p>
    <w:p w:rsidR="00623DCA" w:rsidRPr="00623DCA" w:rsidRDefault="00623DCA" w:rsidP="00623DCA">
      <w:pPr>
        <w:rPr>
          <w:rFonts w:eastAsia="Times New Roman"/>
          <w:color w:val="00000A"/>
          <w:lang w:val="en-AU" w:eastAsia="en-US"/>
        </w:rPr>
      </w:pPr>
      <w:r>
        <w:rPr>
          <w:rFonts w:ascii="Calibri" w:hAnsi="Calibri" w:cs="Calibri"/>
        </w:rPr>
        <w:t>Reference to</w:t>
      </w:r>
      <w:r w:rsidRPr="00E75533">
        <w:rPr>
          <w:rFonts w:ascii="Calibri" w:eastAsia="Times New Roman" w:hAnsi="Calibri"/>
          <w:color w:val="00000A"/>
          <w:lang w:val="en-AU" w:eastAsia="en-US"/>
        </w:rPr>
        <w:t xml:space="preserve"> IALA recommendations O-139 on the Marking of Man-Made Offshore Structure is quoted in paragraph 4.1.4.</w:t>
      </w:r>
    </w:p>
    <w:p w:rsidR="00FB245C" w:rsidRPr="00623DCA" w:rsidRDefault="00FB245C" w:rsidP="00161D94">
      <w:pPr>
        <w:pStyle w:val="Default"/>
        <w:rPr>
          <w:rFonts w:ascii="Calibri" w:hAnsi="Calibri" w:cs="Calibri"/>
          <w:sz w:val="22"/>
          <w:szCs w:val="22"/>
          <w:lang w:val="en-AU"/>
        </w:rPr>
      </w:pPr>
    </w:p>
    <w:p w:rsidR="00FB245C" w:rsidRDefault="00623DCA" w:rsidP="00FE554F">
      <w:pPr>
        <w:pStyle w:val="Heading1"/>
        <w:numPr>
          <w:ilvl w:val="0"/>
          <w:numId w:val="0"/>
        </w:numPr>
        <w:rPr>
          <w:lang w:val="en-GB"/>
        </w:rPr>
      </w:pPr>
      <w:r>
        <w:rPr>
          <w:lang w:val="en-GB"/>
        </w:rPr>
        <w:t xml:space="preserve">2.2 </w:t>
      </w:r>
      <w:r>
        <w:rPr>
          <w:lang w:val="en-GB"/>
        </w:rPr>
        <w:tab/>
        <w:t>Maritime emergency planning (MEP)</w:t>
      </w:r>
    </w:p>
    <w:p w:rsidR="00623DCA" w:rsidRPr="00E75533" w:rsidRDefault="009D2896" w:rsidP="00623DCA">
      <w:pPr>
        <w:jc w:val="both"/>
        <w:rPr>
          <w:rFonts w:ascii="Calibri" w:eastAsia="Times New Roman" w:hAnsi="Calibri"/>
          <w:color w:val="00000A"/>
          <w:lang w:eastAsia="en-US"/>
        </w:rPr>
      </w:pPr>
      <w:r>
        <w:rPr>
          <w:rFonts w:ascii="Calibri" w:eastAsia="Times New Roman" w:hAnsi="Calibri"/>
          <w:color w:val="00000A"/>
          <w:lang w:eastAsia="en-US"/>
        </w:rPr>
        <w:t>In chapter 2 of the report</w:t>
      </w:r>
      <w:r w:rsidR="00623DCA" w:rsidRPr="00E75533">
        <w:rPr>
          <w:rFonts w:ascii="Calibri" w:eastAsia="Times New Roman" w:hAnsi="Calibri"/>
          <w:color w:val="00000A"/>
          <w:lang w:eastAsia="en-US"/>
        </w:rPr>
        <w:t>, the concept of Maritime Emergency Planning (MEP) was developed by PIANC WG 161 in order to cover a complete risk analysis when performing a Maritime Spatial Planning (MSP).</w:t>
      </w:r>
      <w:r>
        <w:rPr>
          <w:rFonts w:ascii="Calibri" w:eastAsia="Times New Roman" w:hAnsi="Calibri"/>
          <w:color w:val="00000A"/>
          <w:lang w:eastAsia="en-US"/>
        </w:rPr>
        <w:t xml:space="preserve"> </w:t>
      </w:r>
      <w:r w:rsidR="00623DCA" w:rsidRPr="00E75533">
        <w:rPr>
          <w:rFonts w:ascii="Calibri" w:eastAsia="Times New Roman" w:hAnsi="Calibri"/>
          <w:color w:val="00000A"/>
          <w:lang w:eastAsia="en-US"/>
        </w:rPr>
        <w:t>MEP is a similar process than MSP but covering all risks identify within the scope of the MSP. MEP can be defined as follows:</w:t>
      </w:r>
    </w:p>
    <w:p w:rsidR="00623DCA" w:rsidRPr="00E75533" w:rsidRDefault="00623DCA" w:rsidP="00623DCA">
      <w:pPr>
        <w:jc w:val="both"/>
        <w:rPr>
          <w:rFonts w:ascii="Calibri" w:eastAsia="Times New Roman" w:hAnsi="Calibri"/>
          <w:color w:val="00000A"/>
          <w:lang w:eastAsia="en-US"/>
        </w:rPr>
      </w:pPr>
    </w:p>
    <w:p w:rsidR="00481E7F" w:rsidRPr="00E75533" w:rsidRDefault="00623DCA" w:rsidP="00623DCA">
      <w:pPr>
        <w:jc w:val="both"/>
        <w:rPr>
          <w:rFonts w:ascii="Calibri" w:hAnsi="Calibri"/>
        </w:rPr>
      </w:pPr>
      <w:r w:rsidRPr="00E75533">
        <w:rPr>
          <w:rFonts w:ascii="Calibri" w:eastAsia="Times New Roman" w:hAnsi="Calibri"/>
          <w:b/>
          <w:color w:val="00000A"/>
          <w:lang w:eastAsia="en-US"/>
        </w:rPr>
        <w:t>Maritime Emergency Planning (MEP)</w:t>
      </w:r>
      <w:r w:rsidRPr="00E75533">
        <w:rPr>
          <w:rFonts w:ascii="Calibri" w:eastAsia="Times New Roman" w:hAnsi="Calibri"/>
          <w:color w:val="00000A"/>
          <w:lang w:eastAsia="en-US"/>
        </w:rPr>
        <w:t xml:space="preserve"> is the process of risks analysis and contingency planning within a Marine Spatial Planning (MSP</w:t>
      </w:r>
      <w:r w:rsidR="00BA5364" w:rsidRPr="00E75533">
        <w:rPr>
          <w:rFonts w:ascii="Calibri" w:eastAsia="Times New Roman" w:hAnsi="Calibri"/>
          <w:color w:val="00000A"/>
          <w:lang w:eastAsia="en-US"/>
        </w:rPr>
        <w:t>).</w:t>
      </w:r>
    </w:p>
    <w:p w:rsidR="00481E7F" w:rsidRPr="00635C87" w:rsidRDefault="00481E7F" w:rsidP="00481E7F">
      <w:pPr>
        <w:jc w:val="both"/>
        <w:rPr>
          <w:rFonts w:ascii="Calibri" w:hAnsi="Calibri" w:cs="Calibri"/>
        </w:rPr>
      </w:pPr>
    </w:p>
    <w:p w:rsidR="00481E7F" w:rsidRDefault="00BA5364" w:rsidP="00481E7F">
      <w:pPr>
        <w:pStyle w:val="Heading1"/>
        <w:numPr>
          <w:ilvl w:val="0"/>
          <w:numId w:val="0"/>
        </w:numPr>
        <w:rPr>
          <w:lang w:val="en-GB"/>
        </w:rPr>
      </w:pPr>
      <w:r>
        <w:rPr>
          <w:lang w:val="en-GB"/>
        </w:rPr>
        <w:t xml:space="preserve">2.3 </w:t>
      </w:r>
      <w:r>
        <w:rPr>
          <w:lang w:val="en-GB"/>
        </w:rPr>
        <w:tab/>
        <w:t>COMPLETION OF THE REPORT</w:t>
      </w:r>
    </w:p>
    <w:p w:rsidR="00FB245C" w:rsidRPr="00E75533" w:rsidRDefault="00BD64E4" w:rsidP="00BA5364">
      <w:pPr>
        <w:pStyle w:val="Default"/>
        <w:rPr>
          <w:rFonts w:ascii="Calibri" w:hAnsi="Calibri" w:cs="Calibri"/>
          <w:bCs/>
          <w:iCs/>
          <w:sz w:val="22"/>
          <w:szCs w:val="22"/>
          <w:lang w:val="en-GB"/>
        </w:rPr>
      </w:pPr>
      <w:r w:rsidRPr="00BD64E4">
        <w:rPr>
          <w:rFonts w:ascii="Calibri" w:hAnsi="Calibri" w:cs="Calibri"/>
          <w:bCs/>
          <w:iCs/>
          <w:sz w:val="22"/>
          <w:szCs w:val="22"/>
          <w:lang w:val="en-GB"/>
        </w:rPr>
        <w:t>It was agreed by PIANC WG 161 to complete the report with appendices illustrating examples on existing practices in member countries.</w:t>
      </w:r>
    </w:p>
    <w:p w:rsidR="00FB245C" w:rsidRPr="00481E7F" w:rsidRDefault="00FB245C" w:rsidP="00605E43">
      <w:pPr>
        <w:pStyle w:val="Heading1"/>
        <w:rPr>
          <w:lang w:val="en-GB"/>
        </w:rPr>
      </w:pPr>
      <w:r w:rsidRPr="00481E7F">
        <w:rPr>
          <w:lang w:val="en-GB"/>
        </w:rPr>
        <w:t>References</w:t>
      </w:r>
    </w:p>
    <w:p w:rsidR="00FB245C" w:rsidRPr="00145867" w:rsidRDefault="009D2896" w:rsidP="00145867">
      <w:pPr>
        <w:pStyle w:val="BodyText"/>
        <w:rPr>
          <w:lang w:val="en-GB"/>
        </w:rPr>
      </w:pPr>
      <w:r>
        <w:rPr>
          <w:lang w:val="en-GB"/>
        </w:rPr>
        <w:t>Report to related document</w:t>
      </w:r>
      <w:r w:rsidR="00FB245C" w:rsidRPr="00145867">
        <w:rPr>
          <w:lang w:val="en-GB"/>
        </w:rPr>
        <w:t xml:space="preserve"> in paragraph </w:t>
      </w:r>
      <w:r w:rsidR="00813EFB">
        <w:rPr>
          <w:lang w:val="en-GB"/>
        </w:rPr>
        <w:t>1.</w:t>
      </w:r>
      <w:r w:rsidR="00FB245C" w:rsidRPr="00145867">
        <w:rPr>
          <w:lang w:val="en-GB"/>
        </w:rPr>
        <w:t>2</w:t>
      </w:r>
    </w:p>
    <w:p w:rsidR="00FB245C" w:rsidRPr="00395EEA" w:rsidRDefault="00FB245C" w:rsidP="00395EEA">
      <w:pPr>
        <w:pStyle w:val="Heading1"/>
        <w:rPr>
          <w:lang w:val="en-GB"/>
        </w:rPr>
      </w:pPr>
      <w:r w:rsidRPr="00161D94">
        <w:rPr>
          <w:lang w:val="en-GB"/>
        </w:rPr>
        <w:t>Action requested of the Committee</w:t>
      </w:r>
    </w:p>
    <w:p w:rsidR="00FB245C" w:rsidRPr="00395EEA" w:rsidRDefault="00FB245C" w:rsidP="005C5FD7">
      <w:pPr>
        <w:pStyle w:val="BodyText"/>
        <w:rPr>
          <w:lang w:val="en-GB"/>
        </w:rPr>
      </w:pPr>
      <w:r w:rsidRPr="00395EEA">
        <w:rPr>
          <w:lang w:val="en-GB"/>
        </w:rPr>
        <w:t xml:space="preserve">The </w:t>
      </w:r>
      <w:r w:rsidR="005C5FD7">
        <w:rPr>
          <w:lang w:val="en-GB"/>
        </w:rPr>
        <w:t>ARM</w:t>
      </w:r>
      <w:r>
        <w:rPr>
          <w:lang w:val="en-GB"/>
        </w:rPr>
        <w:t xml:space="preserve"> </w:t>
      </w:r>
      <w:r w:rsidRPr="00395EEA">
        <w:rPr>
          <w:lang w:val="en-GB"/>
        </w:rPr>
        <w:t>Commit</w:t>
      </w:r>
      <w:r>
        <w:rPr>
          <w:lang w:val="en-GB"/>
        </w:rPr>
        <w:t xml:space="preserve">tee is requested </w:t>
      </w:r>
      <w:r w:rsidRPr="00395EEA">
        <w:rPr>
          <w:lang w:val="en-GB"/>
        </w:rPr>
        <w:t>to take note of the above information and take action accordingly</w:t>
      </w:r>
      <w:r w:rsidR="005C5FD7">
        <w:rPr>
          <w:lang w:val="en-GB"/>
        </w:rPr>
        <w:t>, in particular the co-signature by IALA of PIANC WG 161 report on the interaction between offshore wind farms and maritime navigation.</w:t>
      </w:r>
    </w:p>
    <w:sectPr w:rsidR="00FB245C" w:rsidRPr="00395EEA"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150" w:rsidRDefault="00342150" w:rsidP="00362CD9">
      <w:r>
        <w:separator/>
      </w:r>
    </w:p>
  </w:endnote>
  <w:endnote w:type="continuationSeparator" w:id="0">
    <w:p w:rsidR="00342150" w:rsidRDefault="0034215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45C" w:rsidRDefault="00FB245C">
    <w:pPr>
      <w:pStyle w:val="Footer"/>
    </w:pPr>
    <w:r>
      <w:tab/>
    </w:r>
    <w:r w:rsidR="00635C87">
      <w:fldChar w:fldCharType="begin"/>
    </w:r>
    <w:r w:rsidR="00635C87">
      <w:instrText xml:space="preserve"> PAGE   \* MERGEFORMAT </w:instrText>
    </w:r>
    <w:r w:rsidR="00635C87">
      <w:fldChar w:fldCharType="separate"/>
    </w:r>
    <w:r w:rsidR="00391FA1">
      <w:rPr>
        <w:noProof/>
      </w:rPr>
      <w:t>1</w:t>
    </w:r>
    <w:r w:rsidR="00635C8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150" w:rsidRDefault="00342150" w:rsidP="00362CD9">
      <w:r>
        <w:separator/>
      </w:r>
    </w:p>
  </w:footnote>
  <w:footnote w:type="continuationSeparator" w:id="0">
    <w:p w:rsidR="00342150" w:rsidRDefault="00342150" w:rsidP="00362CD9">
      <w:r>
        <w:continuationSeparator/>
      </w:r>
    </w:p>
  </w:footnote>
  <w:footnote w:id="1">
    <w:p w:rsidR="00FB245C" w:rsidRPr="001069F0" w:rsidRDefault="00FB245C">
      <w:pPr>
        <w:pStyle w:val="FootnoteText"/>
        <w:rPr>
          <w:lang w:val="en-GB"/>
        </w:rPr>
      </w:pPr>
      <w:r>
        <w:rPr>
          <w:rStyle w:val="FootnoteReference"/>
        </w:rPr>
        <w:footnoteRef/>
      </w:r>
      <w:r w:rsidRPr="00265D0A">
        <w:rPr>
          <w:lang w:val="en-GB"/>
        </w:rPr>
        <w:t xml:space="preserve"> </w:t>
      </w:r>
      <w:r w:rsidRPr="00265D0A">
        <w:rPr>
          <w:sz w:val="16"/>
          <w:szCs w:val="16"/>
          <w:lang w:val="en-GB"/>
        </w:rPr>
        <w:t>Input document number, to be assigned by the Committee Secretary</w:t>
      </w:r>
    </w:p>
  </w:footnote>
  <w:footnote w:id="2">
    <w:p w:rsidR="00FB245C" w:rsidRDefault="00FB245C">
      <w:pPr>
        <w:pStyle w:val="FootnoteText"/>
      </w:pPr>
      <w:r w:rsidRPr="00037DF4">
        <w:rPr>
          <w:rStyle w:val="FootnoteReference"/>
        </w:rPr>
        <w:footnoteRef/>
      </w:r>
      <w:r w:rsidRPr="00BF791C">
        <w:rPr>
          <w:lang w:val="en-GB"/>
        </w:rPr>
        <w:t xml:space="preserve"> </w:t>
      </w:r>
      <w:r w:rsidRPr="00BF791C">
        <w:rPr>
          <w:sz w:val="16"/>
          <w:szCs w:val="16"/>
          <w:lang w:val="en-GB"/>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45C" w:rsidRDefault="00342150" w:rsidP="007A395D">
    <w:pPr>
      <w:pStyle w:val="Header"/>
      <w:jc w:val="right"/>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428.9pt;margin-top:-33.7pt;width:45.25pt;height:44.1pt;z-index:1;visibility:visible">
          <v:imagedata r:id="rId1" o:title=""/>
          <w10:wrap type="square"/>
        </v:shape>
      </w:pict>
    </w:r>
    <w:r>
      <w:rPr>
        <w:noProof/>
        <w:lang w:eastAsia="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1;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67C776D"/>
    <w:multiLevelType w:val="multilevel"/>
    <w:tmpl w:val="D6A87134"/>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388"/>
        </w:tabs>
        <w:ind w:left="538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78D333F"/>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6D857E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CCE08EC"/>
    <w:multiLevelType w:val="hybridMultilevel"/>
    <w:tmpl w:val="5580A0B0"/>
    <w:lvl w:ilvl="0" w:tplc="2BFCE51E">
      <w:start w:val="1"/>
      <w:numFmt w:val="decimal"/>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9">
    <w:nsid w:val="35A67004"/>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BDE61A9"/>
    <w:multiLevelType w:val="multilevel"/>
    <w:tmpl w:val="D24075D4"/>
    <w:lvl w:ilvl="0">
      <w:start w:val="1"/>
      <w:numFmt w:val="bullet"/>
      <w:lvlText w:val=""/>
      <w:lvlJc w:val="left"/>
      <w:pPr>
        <w:ind w:left="780" w:hanging="360"/>
      </w:pPr>
      <w:rPr>
        <w:rFonts w:ascii="Symbol" w:hAnsi="Symbol" w:cs="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4C7330"/>
    <w:multiLevelType w:val="hybridMultilevel"/>
    <w:tmpl w:val="D5B639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C834C9D"/>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5D124F7E"/>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effect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34C72DE"/>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nsid w:val="7AF671B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E960332"/>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2"/>
  </w:num>
  <w:num w:numId="2">
    <w:abstractNumId w:val="15"/>
  </w:num>
  <w:num w:numId="3">
    <w:abstractNumId w:val="2"/>
  </w:num>
  <w:num w:numId="4">
    <w:abstractNumId w:val="24"/>
  </w:num>
  <w:num w:numId="5">
    <w:abstractNumId w:val="10"/>
  </w:num>
  <w:num w:numId="6">
    <w:abstractNumId w:val="6"/>
  </w:num>
  <w:num w:numId="7">
    <w:abstractNumId w:val="17"/>
  </w:num>
  <w:num w:numId="8">
    <w:abstractNumId w:val="16"/>
  </w:num>
  <w:num w:numId="9">
    <w:abstractNumId w:val="23"/>
  </w:num>
  <w:num w:numId="10">
    <w:abstractNumId w:val="5"/>
  </w:num>
  <w:num w:numId="11">
    <w:abstractNumId w:val="18"/>
  </w:num>
  <w:num w:numId="12">
    <w:abstractNumId w:val="13"/>
  </w:num>
  <w:num w:numId="13">
    <w:abstractNumId w:val="12"/>
  </w:num>
  <w:num w:numId="14">
    <w:abstractNumId w:val="4"/>
  </w:num>
  <w:num w:numId="15">
    <w:abstractNumId w:val="14"/>
  </w:num>
  <w:num w:numId="16">
    <w:abstractNumId w:val="0"/>
  </w:num>
  <w:num w:numId="17">
    <w:abstractNumId w:val="8"/>
  </w:num>
  <w:num w:numId="18">
    <w:abstractNumId w:val="27"/>
  </w:num>
  <w:num w:numId="19">
    <w:abstractNumId w:val="20"/>
  </w:num>
  <w:num w:numId="20">
    <w:abstractNumId w:val="21"/>
  </w:num>
  <w:num w:numId="21">
    <w:abstractNumId w:val="7"/>
  </w:num>
  <w:num w:numId="22">
    <w:abstractNumId w:val="3"/>
  </w:num>
  <w:num w:numId="23">
    <w:abstractNumId w:val="26"/>
  </w:num>
  <w:num w:numId="24">
    <w:abstractNumId w:val="9"/>
  </w:num>
  <w:num w:numId="25">
    <w:abstractNumId w:val="25"/>
  </w:num>
  <w:num w:numId="26">
    <w:abstractNumId w:val="19"/>
  </w:num>
  <w:num w:numId="27">
    <w:abstractNumId w:val="11"/>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displayBackgroundShape/>
  <w:embedSystemFonts/>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049D8"/>
    <w:rsid w:val="000309EC"/>
    <w:rsid w:val="00037DF4"/>
    <w:rsid w:val="0004700E"/>
    <w:rsid w:val="000652C0"/>
    <w:rsid w:val="00070C13"/>
    <w:rsid w:val="00077982"/>
    <w:rsid w:val="00084F33"/>
    <w:rsid w:val="000A77A7"/>
    <w:rsid w:val="000B1707"/>
    <w:rsid w:val="000C1B3E"/>
    <w:rsid w:val="000E21C9"/>
    <w:rsid w:val="001069F0"/>
    <w:rsid w:val="00110AE7"/>
    <w:rsid w:val="00113BA6"/>
    <w:rsid w:val="00116AE1"/>
    <w:rsid w:val="00141687"/>
    <w:rsid w:val="00145867"/>
    <w:rsid w:val="00161D94"/>
    <w:rsid w:val="00177F4D"/>
    <w:rsid w:val="00180DDA"/>
    <w:rsid w:val="001B2A2D"/>
    <w:rsid w:val="001B4E89"/>
    <w:rsid w:val="001B737D"/>
    <w:rsid w:val="001C44A3"/>
    <w:rsid w:val="001C6642"/>
    <w:rsid w:val="001E0E15"/>
    <w:rsid w:val="001F528A"/>
    <w:rsid w:val="001F704E"/>
    <w:rsid w:val="00201722"/>
    <w:rsid w:val="0021096A"/>
    <w:rsid w:val="002125B0"/>
    <w:rsid w:val="00224FF9"/>
    <w:rsid w:val="002327B7"/>
    <w:rsid w:val="00234D4D"/>
    <w:rsid w:val="00243228"/>
    <w:rsid w:val="00251483"/>
    <w:rsid w:val="00255CAA"/>
    <w:rsid w:val="00264305"/>
    <w:rsid w:val="00265D0A"/>
    <w:rsid w:val="0027234D"/>
    <w:rsid w:val="002A0346"/>
    <w:rsid w:val="002A3C16"/>
    <w:rsid w:val="002A4487"/>
    <w:rsid w:val="002B49E9"/>
    <w:rsid w:val="002C632E"/>
    <w:rsid w:val="002D3E8B"/>
    <w:rsid w:val="002D4575"/>
    <w:rsid w:val="002D5C0C"/>
    <w:rsid w:val="002E03D1"/>
    <w:rsid w:val="002E6B74"/>
    <w:rsid w:val="002E6FCA"/>
    <w:rsid w:val="00342150"/>
    <w:rsid w:val="00356CD0"/>
    <w:rsid w:val="00362CD9"/>
    <w:rsid w:val="003761CA"/>
    <w:rsid w:val="00376ACE"/>
    <w:rsid w:val="00380DAF"/>
    <w:rsid w:val="00391E81"/>
    <w:rsid w:val="00391FA1"/>
    <w:rsid w:val="00395EEA"/>
    <w:rsid w:val="003972CE"/>
    <w:rsid w:val="003B28F5"/>
    <w:rsid w:val="003B7B7D"/>
    <w:rsid w:val="003C2125"/>
    <w:rsid w:val="003C54CB"/>
    <w:rsid w:val="003C7A2A"/>
    <w:rsid w:val="003D2DC1"/>
    <w:rsid w:val="003D69D0"/>
    <w:rsid w:val="003F2918"/>
    <w:rsid w:val="003F430E"/>
    <w:rsid w:val="0041088C"/>
    <w:rsid w:val="00420A38"/>
    <w:rsid w:val="00431B19"/>
    <w:rsid w:val="004661AD"/>
    <w:rsid w:val="00481E7F"/>
    <w:rsid w:val="004B621D"/>
    <w:rsid w:val="004D1D85"/>
    <w:rsid w:val="004D3C3A"/>
    <w:rsid w:val="004E1CD1"/>
    <w:rsid w:val="0050022B"/>
    <w:rsid w:val="005107EB"/>
    <w:rsid w:val="00521345"/>
    <w:rsid w:val="00526DF0"/>
    <w:rsid w:val="00545CC4"/>
    <w:rsid w:val="00551FFF"/>
    <w:rsid w:val="005607A2"/>
    <w:rsid w:val="0057198B"/>
    <w:rsid w:val="005969F2"/>
    <w:rsid w:val="00597FAE"/>
    <w:rsid w:val="005B32A3"/>
    <w:rsid w:val="005C0D44"/>
    <w:rsid w:val="005C566C"/>
    <w:rsid w:val="005C5FD7"/>
    <w:rsid w:val="005C7E69"/>
    <w:rsid w:val="005D43AF"/>
    <w:rsid w:val="005E262D"/>
    <w:rsid w:val="005F23D3"/>
    <w:rsid w:val="005F75BC"/>
    <w:rsid w:val="005F7E20"/>
    <w:rsid w:val="00605E43"/>
    <w:rsid w:val="00611A00"/>
    <w:rsid w:val="006153BB"/>
    <w:rsid w:val="00623DCA"/>
    <w:rsid w:val="00635C87"/>
    <w:rsid w:val="00636E12"/>
    <w:rsid w:val="006652C3"/>
    <w:rsid w:val="00691FD0"/>
    <w:rsid w:val="00692148"/>
    <w:rsid w:val="006A1A1E"/>
    <w:rsid w:val="006C5948"/>
    <w:rsid w:val="006C652D"/>
    <w:rsid w:val="006C6904"/>
    <w:rsid w:val="006D57B0"/>
    <w:rsid w:val="006F2A74"/>
    <w:rsid w:val="00706F0F"/>
    <w:rsid w:val="007118F5"/>
    <w:rsid w:val="00712AA4"/>
    <w:rsid w:val="007146C4"/>
    <w:rsid w:val="00721AA1"/>
    <w:rsid w:val="0072261B"/>
    <w:rsid w:val="00724B67"/>
    <w:rsid w:val="00740A62"/>
    <w:rsid w:val="007547F8"/>
    <w:rsid w:val="00765622"/>
    <w:rsid w:val="00770B6C"/>
    <w:rsid w:val="007751B0"/>
    <w:rsid w:val="00783FEA"/>
    <w:rsid w:val="00793A0B"/>
    <w:rsid w:val="007A395D"/>
    <w:rsid w:val="007C3239"/>
    <w:rsid w:val="007C346C"/>
    <w:rsid w:val="008028D5"/>
    <w:rsid w:val="0080294B"/>
    <w:rsid w:val="00813EFB"/>
    <w:rsid w:val="0082228C"/>
    <w:rsid w:val="0082480E"/>
    <w:rsid w:val="00833B3A"/>
    <w:rsid w:val="00850293"/>
    <w:rsid w:val="00851373"/>
    <w:rsid w:val="00851BA6"/>
    <w:rsid w:val="0085654D"/>
    <w:rsid w:val="008601EA"/>
    <w:rsid w:val="00861160"/>
    <w:rsid w:val="0086654F"/>
    <w:rsid w:val="00870A63"/>
    <w:rsid w:val="008A356F"/>
    <w:rsid w:val="008A4653"/>
    <w:rsid w:val="008A4717"/>
    <w:rsid w:val="008A50CC"/>
    <w:rsid w:val="008B6C62"/>
    <w:rsid w:val="008D1694"/>
    <w:rsid w:val="008D79CB"/>
    <w:rsid w:val="008F07BC"/>
    <w:rsid w:val="0092692B"/>
    <w:rsid w:val="00943E9C"/>
    <w:rsid w:val="00953F4D"/>
    <w:rsid w:val="00960BB8"/>
    <w:rsid w:val="00964F5C"/>
    <w:rsid w:val="0097486A"/>
    <w:rsid w:val="009831C0"/>
    <w:rsid w:val="0099161D"/>
    <w:rsid w:val="009D2896"/>
    <w:rsid w:val="00A0389B"/>
    <w:rsid w:val="00A32371"/>
    <w:rsid w:val="00A32FE9"/>
    <w:rsid w:val="00A37A40"/>
    <w:rsid w:val="00A446C9"/>
    <w:rsid w:val="00A635D6"/>
    <w:rsid w:val="00A72958"/>
    <w:rsid w:val="00A8553A"/>
    <w:rsid w:val="00A86BBE"/>
    <w:rsid w:val="00A93AED"/>
    <w:rsid w:val="00AA5412"/>
    <w:rsid w:val="00AC18BD"/>
    <w:rsid w:val="00AE1319"/>
    <w:rsid w:val="00AE34BB"/>
    <w:rsid w:val="00AE7E17"/>
    <w:rsid w:val="00B226F2"/>
    <w:rsid w:val="00B274DF"/>
    <w:rsid w:val="00B56BDF"/>
    <w:rsid w:val="00B65812"/>
    <w:rsid w:val="00B853CB"/>
    <w:rsid w:val="00B85CD6"/>
    <w:rsid w:val="00B90A27"/>
    <w:rsid w:val="00B9554D"/>
    <w:rsid w:val="00BA0B03"/>
    <w:rsid w:val="00BA5364"/>
    <w:rsid w:val="00BB2B9F"/>
    <w:rsid w:val="00BB76FD"/>
    <w:rsid w:val="00BB7D9E"/>
    <w:rsid w:val="00BC2334"/>
    <w:rsid w:val="00BD3CB8"/>
    <w:rsid w:val="00BD4E6F"/>
    <w:rsid w:val="00BD64E4"/>
    <w:rsid w:val="00BF32F0"/>
    <w:rsid w:val="00BF4DCE"/>
    <w:rsid w:val="00BF791C"/>
    <w:rsid w:val="00C05CE5"/>
    <w:rsid w:val="00C256F7"/>
    <w:rsid w:val="00C6171E"/>
    <w:rsid w:val="00C63706"/>
    <w:rsid w:val="00C8157C"/>
    <w:rsid w:val="00CA1A52"/>
    <w:rsid w:val="00CA27D0"/>
    <w:rsid w:val="00CA6F2C"/>
    <w:rsid w:val="00CF1871"/>
    <w:rsid w:val="00CF3AF8"/>
    <w:rsid w:val="00D019CE"/>
    <w:rsid w:val="00D1133E"/>
    <w:rsid w:val="00D17A34"/>
    <w:rsid w:val="00D26628"/>
    <w:rsid w:val="00D332B3"/>
    <w:rsid w:val="00D55207"/>
    <w:rsid w:val="00D81801"/>
    <w:rsid w:val="00D82E94"/>
    <w:rsid w:val="00D92B45"/>
    <w:rsid w:val="00D95962"/>
    <w:rsid w:val="00DB53DF"/>
    <w:rsid w:val="00DB5957"/>
    <w:rsid w:val="00DC00AB"/>
    <w:rsid w:val="00DC389B"/>
    <w:rsid w:val="00DE2FEE"/>
    <w:rsid w:val="00DF7B0F"/>
    <w:rsid w:val="00E00BE9"/>
    <w:rsid w:val="00E140E1"/>
    <w:rsid w:val="00E15A73"/>
    <w:rsid w:val="00E227D5"/>
    <w:rsid w:val="00E22A11"/>
    <w:rsid w:val="00E31E5C"/>
    <w:rsid w:val="00E40B41"/>
    <w:rsid w:val="00E44DD2"/>
    <w:rsid w:val="00E558C3"/>
    <w:rsid w:val="00E55927"/>
    <w:rsid w:val="00E75533"/>
    <w:rsid w:val="00E777B9"/>
    <w:rsid w:val="00E912A6"/>
    <w:rsid w:val="00EA4844"/>
    <w:rsid w:val="00EA4D9C"/>
    <w:rsid w:val="00EA5A97"/>
    <w:rsid w:val="00EB75EE"/>
    <w:rsid w:val="00EC5BA1"/>
    <w:rsid w:val="00EE4C1D"/>
    <w:rsid w:val="00EF3685"/>
    <w:rsid w:val="00F04350"/>
    <w:rsid w:val="00F133DB"/>
    <w:rsid w:val="00F159EB"/>
    <w:rsid w:val="00F25BF4"/>
    <w:rsid w:val="00F267DB"/>
    <w:rsid w:val="00F46F6F"/>
    <w:rsid w:val="00F60608"/>
    <w:rsid w:val="00F62217"/>
    <w:rsid w:val="00F62311"/>
    <w:rsid w:val="00F7324C"/>
    <w:rsid w:val="00FB17A9"/>
    <w:rsid w:val="00FB245C"/>
    <w:rsid w:val="00FB527C"/>
    <w:rsid w:val="00FB6F75"/>
    <w:rsid w:val="00FC0EB3"/>
    <w:rsid w:val="00FD675E"/>
    <w:rsid w:val="00FE554F"/>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7A9"/>
    <w:rPr>
      <w:rFonts w:ascii="Arial" w:hAnsi="Arial" w:cs="Arial"/>
      <w:sz w:val="22"/>
      <w:szCs w:val="22"/>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val="fr-FR"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val="fr-FR" w:eastAsia="ja-JP"/>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cs="Times New Roman"/>
      <w:b/>
      <w:bCs/>
      <w:caps/>
      <w:color w:val="0070C0"/>
      <w:kern w:val="28"/>
      <w:sz w:val="22"/>
      <w:szCs w:val="22"/>
      <w:lang w:val="fr-FR" w:eastAsia="de-DE"/>
    </w:rPr>
  </w:style>
  <w:style w:type="character" w:customStyle="1" w:styleId="Heading2Char">
    <w:name w:val="Heading 2 Char"/>
    <w:link w:val="Heading2"/>
    <w:uiPriority w:val="99"/>
    <w:locked/>
    <w:rsid w:val="00605E43"/>
    <w:rPr>
      <w:rFonts w:cs="Times New Roman"/>
      <w:b/>
      <w:bCs/>
      <w:color w:val="0070C0"/>
      <w:sz w:val="24"/>
      <w:szCs w:val="24"/>
      <w:lang w:val="fr-FR" w:eastAsia="ja-JP"/>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CA1A52"/>
    <w:pPr>
      <w:spacing w:after="120"/>
      <w:jc w:val="both"/>
    </w:pPr>
    <w:rPr>
      <w:rFonts w:ascii="Calibri" w:hAnsi="Calibri" w:cs="Calibri"/>
      <w:lang w:val="fr-FR" w:eastAsia="de-DE"/>
    </w:rPr>
  </w:style>
  <w:style w:type="character" w:customStyle="1" w:styleId="BodyTextChar">
    <w:name w:val="Body Text Char"/>
    <w:link w:val="BodyText"/>
    <w:uiPriority w:val="99"/>
    <w:locked/>
    <w:rsid w:val="00CA1A52"/>
    <w:rPr>
      <w:rFonts w:cs="Times New Roman"/>
      <w:sz w:val="22"/>
      <w:szCs w:val="22"/>
      <w:lang w:eastAsia="de-DE"/>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rPr>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4"/>
      <w:szCs w:val="24"/>
      <w:lang w:val="fr-FR"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4"/>
      <w:szCs w:val="24"/>
      <w:lang w:val="fr-FR"/>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4"/>
      <w:szCs w:val="24"/>
      <w:lang w:val="fr-FR"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4"/>
      <w:szCs w:val="24"/>
      <w:lang w:val="fr-FR"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val="fr-FR"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4"/>
      <w:szCs w:val="24"/>
      <w:lang w:val="fr-FR"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val="fr-FR"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6"/>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lang w:val="fr-FR" w:eastAsia="fr-FR"/>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lang w:val="fr-FR" w:eastAsia="fr-FR"/>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rsid w:val="006C652D"/>
    <w:pPr>
      <w:autoSpaceDE w:val="0"/>
      <w:autoSpaceDN w:val="0"/>
      <w:adjustRightInd w:val="0"/>
    </w:pPr>
    <w:rPr>
      <w:rFonts w:ascii="Arial" w:eastAsia="MS Mincho" w:hAnsi="Arial" w:cs="Arial"/>
      <w:color w:val="000000"/>
      <w:sz w:val="24"/>
      <w:szCs w:val="24"/>
      <w:lang w:val="fr-FR" w:eastAsia="ja-JP"/>
    </w:rPr>
  </w:style>
  <w:style w:type="numbering" w:styleId="ArticleSection">
    <w:name w:val="Outline List 3"/>
    <w:basedOn w:val="NoList"/>
    <w:uiPriority w:val="99"/>
    <w:semiHidden/>
    <w:unhideWhenUsed/>
    <w:locked/>
    <w:rsid w:val="00BC6831"/>
    <w:pPr>
      <w:numPr>
        <w:numId w:val="6"/>
      </w:numPr>
    </w:pPr>
  </w:style>
  <w:style w:type="paragraph" w:customStyle="1" w:styleId="Agenda2">
    <w:name w:val="Agenda 2"/>
    <w:basedOn w:val="Normal"/>
    <w:uiPriority w:val="99"/>
    <w:rsid w:val="005C5FD7"/>
    <w:pPr>
      <w:tabs>
        <w:tab w:val="num" w:pos="1418"/>
      </w:tabs>
      <w:spacing w:after="60"/>
      <w:ind w:left="1418" w:hanging="851"/>
      <w:jc w:val="both"/>
    </w:pPr>
    <w:rPr>
      <w:rFonts w:eastAsia="MS Mincho" w:cs="Times New Roman"/>
      <w:szCs w:val="24"/>
      <w:lang w:eastAsia="ja-JP"/>
    </w:rPr>
  </w:style>
  <w:style w:type="numbering" w:customStyle="1" w:styleId="ArticleSection1">
    <w:name w:val="Article / Section1"/>
    <w:basedOn w:val="NoList"/>
    <w:next w:val="ArticleSection"/>
    <w:uiPriority w:val="99"/>
    <w:semiHidden/>
    <w:unhideWhenUsed/>
    <w:locked/>
    <w:rsid w:val="005C5F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2</Pages>
  <Words>674</Words>
  <Characters>3848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Wim</cp:lastModifiedBy>
  <cp:revision>21</cp:revision>
  <dcterms:created xsi:type="dcterms:W3CDTF">2016-03-07T15:34:00Z</dcterms:created>
  <dcterms:modified xsi:type="dcterms:W3CDTF">2017-04-07T12:19:00Z</dcterms:modified>
</cp:coreProperties>
</file>